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516" w:rsidR="00D3771F" w:rsidP="3787F221" w:rsidRDefault="00D34D50" w14:paraId="19671B6B" w14:textId="49537647">
      <w:pPr>
        <w:bidi w:val="1"/>
        <w:jc w:val="center"/>
        <w:rPr>
          <w:b w:val="1"/>
          <w:bCs w:val="1"/>
          <w:smallCaps w:val="1"/>
          <w:sz w:val="28"/>
          <w:szCs w:val="28"/>
        </w:rPr>
      </w:pPr>
      <w:r>
        <w:rPr>
          <w:b/>
          <w:bCs/>
          <w:smallCaps/>
          <w:noProof/>
          <w:sz w:val="28"/>
          <w:szCs w:val="28"/>
        </w:rPr>
        <w:drawing>
          <wp:anchor distT="0" distB="0" distL="114300" distR="114300" simplePos="0" relativeHeight="251659264" behindDoc="0" locked="0" layoutInCell="1" allowOverlap="1" wp14:editId="2852E868" wp14:anchorId="274F8C68">
            <wp:simplePos x="0" y="0"/>
            <wp:positionH relativeFrom="margin">
              <wp:align>right</wp:align>
            </wp:positionH>
            <wp:positionV relativeFrom="page">
              <wp:posOffset>15875</wp:posOffset>
            </wp:positionV>
            <wp:extent cx="1326411" cy="950976"/>
            <wp:effectExtent l="0" t="0" r="7620" b="1905"/>
            <wp:wrapTopAndBottom/>
            <wp:docPr id="1579115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6411" cy="950976"/>
                    </a:xfrm>
                    <a:prstGeom prst="rect">
                      <a:avLst/>
                    </a:prstGeom>
                    <a:noFill/>
                    <a:ln>
                      <a:noFill/>
                    </a:ln>
                  </pic:spPr>
                </pic:pic>
              </a:graphicData>
            </a:graphic>
            <wp14:sizeRelV relativeFrom="margin">
              <wp14:pctHeight>0</wp14:pctHeight>
            </wp14:sizeRelV>
          </wp:anchor>
        </w:drawing>
      </w:r>
      <w:r>
        <w:rPr>
          <w:b/>
          <w:bCs/>
          <w:smallCaps/>
          <w:noProof/>
          <w:sz w:val="28"/>
          <w:szCs w:val="28"/>
        </w:rPr>
        <w:drawing>
          <wp:anchor distT="0" distB="0" distL="114300" distR="114300" simplePos="0" relativeHeight="251658240" behindDoc="0" locked="0" layoutInCell="1" allowOverlap="1" wp14:editId="20E35C80" wp14:anchorId="5EF26027">
            <wp:simplePos x="0" y="0"/>
            <wp:positionH relativeFrom="margin">
              <wp:align>left</wp:align>
            </wp:positionH>
            <wp:positionV relativeFrom="page">
              <wp:posOffset>262062</wp:posOffset>
            </wp:positionV>
            <wp:extent cx="1490472" cy="585216"/>
            <wp:effectExtent l="0" t="0" r="0" b="0"/>
            <wp:wrapTopAndBottom/>
            <wp:docPr id="1864530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5516" w:rsidR="00E365CE">
        <w:rPr>
          <w:b w:val="1"/>
          <w:bCs w:val="1"/>
          <w:smallCaps w:val="1"/>
          <w:sz w:val="28"/>
          <w:szCs w:val="28"/>
        </w:rPr>
        <w:t xml:space="preserve">Outil</w:t>
      </w:r>
      <w:r w:rsidRPr="00E95516" w:rsidR="00E365CE">
        <w:rPr>
          <w:b w:val="1"/>
          <w:bCs w:val="1"/>
          <w:smallCaps w:val="1"/>
          <w:sz w:val="28"/>
          <w:szCs w:val="28"/>
        </w:rPr>
        <w:t xml:space="preserve"> de </w:t>
      </w:r>
      <w:r w:rsidRPr="00E95516" w:rsidR="00E365CE">
        <w:rPr>
          <w:b w:val="1"/>
          <w:bCs w:val="1"/>
          <w:smallCaps w:val="1"/>
          <w:sz w:val="28"/>
          <w:szCs w:val="28"/>
        </w:rPr>
        <w:t xml:space="preserve">cartographie</w:t>
      </w:r>
      <w:r w:rsidRPr="00E95516" w:rsidR="00E365CE">
        <w:rPr>
          <w:b w:val="1"/>
          <w:bCs w:val="1"/>
          <w:smallCaps w:val="1"/>
          <w:sz w:val="28"/>
          <w:szCs w:val="28"/>
        </w:rPr>
        <w:t xml:space="preserve"> des parties </w:t>
      </w:r>
      <w:r w:rsidRPr="00E95516" w:rsidR="00E365CE">
        <w:rPr>
          <w:b w:val="1"/>
          <w:bCs w:val="1"/>
          <w:smallCaps w:val="1"/>
          <w:sz w:val="28"/>
          <w:szCs w:val="28"/>
        </w:rPr>
        <w:t xml:space="preserve">prenantes</w:t>
      </w:r>
    </w:p>
    <w:p w:rsidRPr="00E95516" w:rsidR="00E365CE" w:rsidP="69588500" w:rsidRDefault="00E365CE" w14:paraId="4F516CB0" w14:textId="4F8EB577">
      <w:pPr>
        <w:rPr>
          <w:sz w:val="24"/>
          <w:szCs w:val="24"/>
          <w:lang w:val="fr-FR"/>
        </w:rPr>
      </w:pPr>
      <w:r w:rsidRPr="3787F221" w:rsidR="002FB45B">
        <w:rPr>
          <w:sz w:val="24"/>
          <w:szCs w:val="24"/>
          <w:lang w:val="fr-FR"/>
        </w:rPr>
        <w:t xml:space="preserve">De multiples parties prenantes </w:t>
      </w:r>
      <w:r w:rsidRPr="3787F221" w:rsidR="3BADD268">
        <w:rPr>
          <w:sz w:val="24"/>
          <w:szCs w:val="24"/>
          <w:lang w:val="fr-FR"/>
        </w:rPr>
        <w:t xml:space="preserve">s'intéressent </w:t>
      </w:r>
      <w:r w:rsidRPr="3787F221" w:rsidR="002FB45B">
        <w:rPr>
          <w:sz w:val="24"/>
          <w:szCs w:val="24"/>
          <w:lang w:val="fr-FR"/>
        </w:rPr>
        <w:t xml:space="preserve">à la collecte, au suivi et à l'utilisation des données sur la mortalité et ses causes dans le pays. </w:t>
      </w:r>
      <w:r w:rsidRPr="3787F221" w:rsidR="7EC87EA5">
        <w:rPr>
          <w:sz w:val="24"/>
          <w:szCs w:val="24"/>
          <w:lang w:val="fr-FR"/>
        </w:rPr>
        <w:t xml:space="preserve">Il est </w:t>
      </w:r>
      <w:r w:rsidRPr="3787F221" w:rsidR="002FB45B">
        <w:rPr>
          <w:sz w:val="24"/>
          <w:szCs w:val="24"/>
          <w:lang w:val="fr-FR"/>
        </w:rPr>
        <w:t>essentiel de</w:t>
      </w:r>
      <w:r w:rsidRPr="3787F221" w:rsidR="002FB45B">
        <w:rPr>
          <w:sz w:val="24"/>
          <w:szCs w:val="24"/>
          <w:lang w:val="fr-FR"/>
        </w:rPr>
        <w:t xml:space="preserve"> </w:t>
      </w:r>
      <w:r w:rsidRPr="3787F221" w:rsidR="1091C3FC">
        <w:rPr>
          <w:sz w:val="24"/>
          <w:szCs w:val="24"/>
          <w:lang w:val="fr-FR"/>
        </w:rPr>
        <w:t xml:space="preserve">déterminer le rôle de </w:t>
      </w:r>
      <w:r w:rsidRPr="3787F221" w:rsidR="002FB45B">
        <w:rPr>
          <w:sz w:val="24"/>
          <w:szCs w:val="24"/>
          <w:lang w:val="fr-FR"/>
        </w:rPr>
        <w:t xml:space="preserve">ces parties prenantes </w:t>
      </w:r>
      <w:r w:rsidRPr="3787F221" w:rsidR="002FB45B">
        <w:rPr>
          <w:sz w:val="24"/>
          <w:szCs w:val="24"/>
          <w:lang w:val="fr-FR"/>
        </w:rPr>
        <w:t xml:space="preserve">dans les données sur la mortalité </w:t>
      </w:r>
      <w:r w:rsidRPr="3787F221" w:rsidR="002FB45B">
        <w:rPr>
          <w:sz w:val="24"/>
          <w:szCs w:val="24"/>
          <w:lang w:val="fr-FR"/>
        </w:rPr>
        <w:t xml:space="preserve">afin de comprendre à quel niveau elles doivent être associées à la planification d'un SRS. Nous proposons de commencer </w:t>
      </w:r>
      <w:r w:rsidRPr="3787F221" w:rsidR="70276EAF">
        <w:rPr>
          <w:sz w:val="24"/>
          <w:szCs w:val="24"/>
          <w:lang w:val="fr-FR"/>
        </w:rPr>
        <w:t xml:space="preserve">la </w:t>
      </w:r>
      <w:r w:rsidRPr="3787F221" w:rsidR="70276EAF">
        <w:rPr>
          <w:sz w:val="24"/>
          <w:szCs w:val="24"/>
          <w:lang w:val="fr-FR"/>
        </w:rPr>
        <w:t xml:space="preserve">cartographie </w:t>
      </w:r>
      <w:r w:rsidRPr="3787F221" w:rsidR="002FB45B">
        <w:rPr>
          <w:sz w:val="24"/>
          <w:szCs w:val="24"/>
          <w:lang w:val="fr-FR"/>
        </w:rPr>
        <w:t xml:space="preserve">par les principales institutions gouvernementales </w:t>
      </w:r>
      <w:r w:rsidRPr="3787F221" w:rsidR="70276EAF">
        <w:rPr>
          <w:sz w:val="24"/>
          <w:szCs w:val="24"/>
          <w:lang w:val="fr-FR"/>
        </w:rPr>
        <w:t xml:space="preserve">(par exemple, le ministère de la Santé) </w:t>
      </w:r>
      <w:r w:rsidRPr="3787F221" w:rsidR="002FB45B">
        <w:rPr>
          <w:sz w:val="24"/>
          <w:szCs w:val="24"/>
          <w:lang w:val="fr-FR"/>
        </w:rPr>
        <w:t xml:space="preserve">et de progresser vers les partenaires gouvernementaux, les ONG, la société civile et les communautés. Il est essentiel que la cartographie ne se limite pas aux acteurs nationaux. Si une bonne analyse documentaire et des contacts rapides avec des informateurs clés peuvent suffire pour identifier les parties prenantes, dans certains cas, des entretiens avec des responsables au niveau infranational (région, district) peuvent être nécessaires. </w:t>
      </w:r>
      <w:r w:rsidRPr="3787F221" w:rsidR="7EC87EA5">
        <w:rPr>
          <w:sz w:val="24"/>
          <w:szCs w:val="24"/>
          <w:lang w:val="fr-FR"/>
        </w:rPr>
        <w:t xml:space="preserve">Certaines parties prenantes identifiées peuvent être invitées à rejoindre un comité technique chargé de </w:t>
      </w:r>
      <w:r w:rsidRPr="3787F221" w:rsidR="70276EAF">
        <w:rPr>
          <w:sz w:val="24"/>
          <w:szCs w:val="24"/>
          <w:lang w:val="fr-FR"/>
        </w:rPr>
        <w:t>donner</w:t>
      </w:r>
      <w:r w:rsidRPr="3787F221" w:rsidR="70276EAF">
        <w:rPr>
          <w:sz w:val="24"/>
          <w:szCs w:val="24"/>
          <w:lang w:val="fr-FR"/>
        </w:rPr>
        <w:t xml:space="preserve"> des conseils sur </w:t>
      </w:r>
      <w:r w:rsidRPr="3787F221" w:rsidR="7EC87EA5">
        <w:rPr>
          <w:sz w:val="24"/>
          <w:szCs w:val="24"/>
          <w:lang w:val="fr-FR"/>
        </w:rPr>
        <w:t xml:space="preserve">la conception, le développement, la mise en œuvre et le financement du SRS. </w:t>
      </w:r>
      <w:r w:rsidRPr="3787F221" w:rsidR="002FB45B">
        <w:rPr>
          <w:sz w:val="24"/>
          <w:szCs w:val="24"/>
          <w:lang w:val="fr-FR"/>
        </w:rPr>
        <w:t xml:space="preserve">Le tableau ci-dessous fournit une liste d'informations à recueillir sur chaque partie prenante potentielle. </w:t>
      </w:r>
      <w:r w:rsidRPr="3787F221" w:rsidR="7B94FF3B">
        <w:rPr>
          <w:sz w:val="24"/>
          <w:szCs w:val="24"/>
          <w:lang w:val="fr-FR"/>
        </w:rPr>
        <w:t xml:space="preserve">Nous fournissons quelques exemples dans le tableau à titre d'illustration. </w:t>
      </w:r>
    </w:p>
    <w:p w:rsidR="00E95516" w:rsidRDefault="00E95516" w14:paraId="424BB5C7" w14:textId="77777777">
      <w:pPr>
        <w:rPr>
          <w:i/>
          <w:iCs/>
          <w:sz w:val="20"/>
          <w:szCs w:val="20"/>
        </w:rPr>
      </w:pPr>
    </w:p>
    <w:p w:rsidR="00E95516" w:rsidRDefault="00E95516" w14:paraId="4932C54B" w14:textId="77777777">
      <w:pPr>
        <w:rPr>
          <w:i/>
          <w:iCs/>
          <w:sz w:val="20"/>
          <w:szCs w:val="20"/>
        </w:rPr>
      </w:pPr>
    </w:p>
    <w:p w:rsidR="00E95516" w:rsidRDefault="00E95516" w14:paraId="7828C766" w14:textId="77777777">
      <w:pPr>
        <w:rPr>
          <w:i/>
          <w:iCs/>
          <w:sz w:val="20"/>
          <w:szCs w:val="20"/>
        </w:rPr>
      </w:pPr>
    </w:p>
    <w:p w:rsidR="00E95516" w:rsidRDefault="00E95516" w14:paraId="1248038E" w14:textId="77777777">
      <w:pPr>
        <w:rPr>
          <w:i/>
          <w:iCs/>
          <w:sz w:val="20"/>
          <w:szCs w:val="20"/>
        </w:rPr>
      </w:pPr>
    </w:p>
    <w:p w:rsidR="00E95516" w:rsidRDefault="00E95516" w14:paraId="45564B5F" w14:textId="77777777">
      <w:pPr>
        <w:rPr>
          <w:i/>
          <w:iCs/>
          <w:sz w:val="20"/>
          <w:szCs w:val="20"/>
        </w:rPr>
      </w:pPr>
    </w:p>
    <w:p w:rsidR="00E95516" w:rsidRDefault="00E95516" w14:paraId="12278876" w14:textId="77777777">
      <w:pPr>
        <w:rPr>
          <w:i/>
          <w:iCs/>
          <w:sz w:val="20"/>
          <w:szCs w:val="20"/>
        </w:rPr>
      </w:pPr>
    </w:p>
    <w:p w:rsidR="00E95516" w:rsidRDefault="00E95516" w14:paraId="5F246F05" w14:textId="77777777">
      <w:pPr>
        <w:rPr>
          <w:i/>
          <w:iCs/>
          <w:sz w:val="20"/>
          <w:szCs w:val="20"/>
        </w:rPr>
      </w:pPr>
    </w:p>
    <w:p w:rsidR="00E95516" w:rsidRDefault="00E95516" w14:paraId="60E45D79" w14:textId="77777777">
      <w:pPr>
        <w:rPr>
          <w:i/>
          <w:iCs/>
          <w:sz w:val="20"/>
          <w:szCs w:val="20"/>
        </w:rPr>
      </w:pPr>
    </w:p>
    <w:p w:rsidR="00E95516" w:rsidRDefault="00E95516" w14:paraId="21BAE8B5" w14:textId="77777777">
      <w:pPr>
        <w:rPr>
          <w:i/>
          <w:iCs/>
          <w:sz w:val="20"/>
          <w:szCs w:val="20"/>
        </w:rPr>
      </w:pPr>
    </w:p>
    <w:p w:rsidR="00E95516" w:rsidRDefault="00E95516" w14:paraId="78007D63" w14:textId="77777777">
      <w:pPr>
        <w:rPr>
          <w:i/>
          <w:iCs/>
          <w:sz w:val="20"/>
          <w:szCs w:val="20"/>
        </w:rPr>
      </w:pPr>
    </w:p>
    <w:p w:rsidR="00E95516" w:rsidRDefault="00E95516" w14:paraId="6EE117E1" w14:textId="77777777">
      <w:pPr>
        <w:rPr>
          <w:i/>
          <w:iCs/>
          <w:sz w:val="20"/>
          <w:szCs w:val="20"/>
        </w:rPr>
      </w:pPr>
    </w:p>
    <w:p w:rsidR="00E95516" w:rsidRDefault="00E95516" w14:paraId="50D59031" w14:textId="77777777">
      <w:pPr>
        <w:rPr>
          <w:i/>
          <w:iCs/>
          <w:sz w:val="20"/>
          <w:szCs w:val="20"/>
        </w:rPr>
      </w:pPr>
    </w:p>
    <w:p w:rsidR="00E95516" w:rsidRDefault="00E95516" w14:paraId="0229F47D" w14:textId="77777777">
      <w:pPr>
        <w:rPr>
          <w:i/>
          <w:iCs/>
          <w:sz w:val="20"/>
          <w:szCs w:val="20"/>
        </w:rPr>
      </w:pPr>
    </w:p>
    <w:p w:rsidR="00E95516" w:rsidRDefault="00E95516" w14:paraId="58C8B737" w14:textId="77777777">
      <w:pPr>
        <w:rPr>
          <w:i/>
          <w:iCs/>
          <w:sz w:val="20"/>
          <w:szCs w:val="20"/>
        </w:rPr>
      </w:pPr>
    </w:p>
    <w:p w:rsidR="00E95516" w:rsidRDefault="00E95516" w14:paraId="01F50853" w14:textId="77777777">
      <w:pPr>
        <w:rPr>
          <w:i/>
          <w:iCs/>
          <w:sz w:val="20"/>
          <w:szCs w:val="20"/>
        </w:rPr>
      </w:pPr>
    </w:p>
    <w:p w:rsidR="00E95516" w:rsidRDefault="00E95516" w14:paraId="189B5BF5" w14:textId="77777777">
      <w:pPr>
        <w:rPr>
          <w:i/>
          <w:iCs/>
          <w:sz w:val="20"/>
          <w:szCs w:val="20"/>
        </w:rPr>
      </w:pPr>
    </w:p>
    <w:p w:rsidR="00E95516" w:rsidRDefault="00E95516" w14:paraId="3ACD174C" w14:textId="77777777">
      <w:pPr>
        <w:rPr>
          <w:i/>
          <w:iCs/>
          <w:sz w:val="20"/>
          <w:szCs w:val="20"/>
        </w:rPr>
      </w:pPr>
    </w:p>
    <w:p w:rsidR="00E95516" w:rsidRDefault="00E95516" w14:paraId="47AEFFF6" w14:textId="7D99400A">
      <w:pPr>
        <w:rPr>
          <w:i/>
          <w:iCs/>
          <w:sz w:val="20"/>
          <w:szCs w:val="20"/>
        </w:rPr>
      </w:pPr>
    </w:p>
    <w:p w:rsidR="00E95516" w:rsidRDefault="00E95516" w14:paraId="3EACE93B" w14:textId="77777777">
      <w:pPr>
        <w:rPr>
          <w:i/>
          <w:iCs/>
          <w:sz w:val="20"/>
          <w:szCs w:val="20"/>
        </w:rPr>
      </w:pPr>
    </w:p>
    <w:p w:rsidR="00E95516" w:rsidRDefault="00E95516" w14:paraId="5D37C1EC" w14:textId="77777777">
      <w:pPr>
        <w:rPr>
          <w:i/>
          <w:iCs/>
          <w:sz w:val="20"/>
          <w:szCs w:val="20"/>
        </w:rPr>
      </w:pPr>
    </w:p>
    <w:p w:rsidR="00E95516" w:rsidRDefault="00E95516" w14:paraId="1B8A3168" w14:textId="77777777">
      <w:pPr>
        <w:rPr>
          <w:i/>
          <w:iCs/>
          <w:sz w:val="20"/>
          <w:szCs w:val="20"/>
        </w:rPr>
        <w:sectPr w:rsidR="00E95516" w:rsidSect="00E95516">
          <w:footerReference w:type="default" r:id="rId8"/>
          <w:pgSz w:w="12240" w:h="15840" w:orient="portrait"/>
          <w:pgMar w:top="1440" w:right="806" w:bottom="1440" w:left="634" w:header="720" w:footer="720" w:gutter="0"/>
          <w:cols w:space="720"/>
          <w:docGrid w:linePitch="360"/>
        </w:sectPr>
      </w:pPr>
    </w:p>
    <w:p w:rsidRPr="00DB1DED" w:rsidR="00E95516" w:rsidRDefault="00E95516" w14:paraId="1573EE50" w14:textId="77777777">
      <w:pPr>
        <w:rPr>
          <w:i/>
          <w:iCs/>
          <w:sz w:val="20"/>
          <w:szCs w:val="20"/>
        </w:rPr>
      </w:pPr>
    </w:p>
    <w:tbl>
      <w:tblPr>
        <w:tblStyle w:val="GridTable4-Accent3"/>
        <w:tblW w:w="14759" w:type="dxa"/>
        <w:jc w:val="center"/>
        <w:tblLook w:val="04a0"/>
      </w:tblPr>
      <w:tblGrid>
        <w:gridCol w:w="467"/>
        <w:gridCol w:w="2949"/>
        <w:gridCol w:w="1704"/>
        <w:gridCol w:w="1767"/>
        <w:gridCol w:w="2059"/>
        <w:gridCol w:w="2221"/>
        <w:gridCol w:w="1752"/>
        <w:gridCol w:w="1840"/>
      </w:tblGrid>
      <w:tr w:rsidRPr="00DB1DED" w:rsidR="00DB1DED" w:rsidTr="3787F221" w14:paraId="17997601" w14:textId="63E98BA6">
        <w:trPr>
          <w:cnfStyle w:val="100000000000"/>
          <w:trHeight w:val="1187"/>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655419B6" w14:textId="6C2A26D5">
            <w:pPr>
              <w:rPr>
                <w:b w:val="0"/>
                <w:bCs w:val="0"/>
                <w:sz w:val="18"/>
                <w:szCs w:val="18"/>
              </w:rPr>
            </w:pPr>
            <w:r w:rsidRPr="00DB1DED">
              <w:rPr>
                <w:b w:val="0"/>
                <w:bCs w:val="0"/>
                <w:sz w:val="18"/>
                <w:szCs w:val="18"/>
              </w:rPr>
              <w:t xml:space="preserve">#</w:t>
            </w:r>
          </w:p>
        </w:tc>
        <w:tc>
          <w:tcPr>
            <w:cnfStyle w:val="000000000000" w:firstRow="0" w:lastRow="0" w:firstColumn="0" w:lastColumn="0" w:oddVBand="0" w:evenVBand="0" w:oddHBand="0" w:evenHBand="0" w:firstRowFirstColumn="0" w:firstRowLastColumn="0" w:lastRowFirstColumn="0" w:lastRowLastColumn="0"/>
            <w:tcW w:w="2949" w:type="dxa"/>
            <w:tcMar/>
          </w:tcPr>
          <w:p w:rsidRPr="00DB1DED" w:rsidR="00DB1DED" w:rsidRDefault="00DB1DED" w14:paraId="492E0042" w14:textId="4D1CCF93">
            <w:pPr>
              <w:cnfStyle w:val="100000000000"/>
              <w:rPr>
                <w:b w:val="0"/>
                <w:bCs w:val="0"/>
                <w:sz w:val="18"/>
                <w:szCs w:val="18"/>
              </w:rPr>
            </w:pPr>
            <w:r w:rsidRPr="00DB1DED">
              <w:rPr>
                <w:b w:val="0"/>
                <w:bCs w:val="0"/>
                <w:sz w:val="18"/>
                <w:szCs w:val="18"/>
              </w:rPr>
              <w:t xml:space="preserve">Parties prenantes</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04CCC370" w14:textId="5CDD487F">
            <w:pPr>
              <w:cnfStyle w:val="100000000000"/>
              <w:rPr>
                <w:b w:val="0"/>
                <w:bCs w:val="0"/>
                <w:sz w:val="18"/>
                <w:szCs w:val="18"/>
              </w:rPr>
            </w:pPr>
            <w:r w:rsidRPr="00DB1DED">
              <w:rPr>
                <w:b w:val="0"/>
                <w:bCs w:val="0"/>
                <w:sz w:val="18"/>
                <w:szCs w:val="18"/>
              </w:rPr>
              <w:t xml:space="preserve">Type (gouvernement, privé, ONG, société civile, </w:t>
            </w: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3E7262E6" w14:textId="54028CAB">
            <w:pPr>
              <w:cnfStyle w:val="100000000000"/>
              <w:rPr>
                <w:b w:val="0"/>
                <w:bCs w:val="0"/>
                <w:sz w:val="18"/>
                <w:szCs w:val="18"/>
              </w:rPr>
            </w:pPr>
            <w:r w:rsidRPr="00DB1DED">
              <w:rPr>
                <w:b w:val="0"/>
                <w:bCs w:val="0"/>
                <w:sz w:val="18"/>
                <w:szCs w:val="18"/>
              </w:rPr>
              <w:t xml:space="preserve">Niveau d'intervention (international, national, infranational)</w:t>
            </w: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4548E8C5" w14:textId="048326C5">
            <w:pPr>
              <w:cnfStyle w:val="100000000000"/>
              <w:rPr>
                <w:b w:val="0"/>
                <w:bCs w:val="0"/>
                <w:sz w:val="18"/>
                <w:szCs w:val="18"/>
              </w:rPr>
            </w:pPr>
            <w:r w:rsidRPr="3787F221" w:rsidR="7EC87EA5">
              <w:rPr>
                <w:b w:val="0"/>
                <w:bCs w:val="0"/>
                <w:sz w:val="18"/>
                <w:szCs w:val="18"/>
              </w:rPr>
              <w:t>Rôle</w:t>
            </w:r>
            <w:r w:rsidRPr="3787F221" w:rsidR="7EC87EA5">
              <w:rPr>
                <w:b w:val="0"/>
                <w:bCs w:val="0"/>
                <w:sz w:val="18"/>
                <w:szCs w:val="18"/>
              </w:rPr>
              <w:t xml:space="preserve"> dans les données sur la </w:t>
            </w:r>
            <w:r w:rsidRPr="3787F221" w:rsidR="7EC87EA5">
              <w:rPr>
                <w:b w:val="0"/>
                <w:bCs w:val="0"/>
                <w:sz w:val="18"/>
                <w:szCs w:val="18"/>
              </w:rPr>
              <w:t>mortalité</w:t>
            </w:r>
            <w:r w:rsidRPr="3787F221" w:rsidR="7EC87EA5">
              <w:rPr>
                <w:b w:val="0"/>
                <w:bCs w:val="0"/>
                <w:sz w:val="18"/>
                <w:szCs w:val="18"/>
              </w:rPr>
              <w:t xml:space="preserve"> (</w:t>
            </w:r>
            <w:r w:rsidRPr="3787F221" w:rsidR="4B995437">
              <w:rPr>
                <w:b w:val="0"/>
                <w:bCs w:val="0"/>
                <w:sz w:val="18"/>
                <w:szCs w:val="18"/>
              </w:rPr>
              <w:t xml:space="preserve"> collection</w:t>
            </w:r>
            <w:r w:rsidRPr="3787F221" w:rsidR="7EC87EA5">
              <w:rPr>
                <w:b w:val="0"/>
                <w:bCs w:val="0"/>
                <w:sz w:val="18"/>
                <w:szCs w:val="18"/>
              </w:rPr>
              <w:t xml:space="preserve">, </w:t>
            </w:r>
            <w:r w:rsidRPr="3787F221" w:rsidR="7EC87EA5">
              <w:rPr>
                <w:b w:val="0"/>
                <w:bCs w:val="0"/>
                <w:sz w:val="18"/>
                <w:szCs w:val="18"/>
              </w:rPr>
              <w:t>utilisation</w:t>
            </w:r>
            <w:r w:rsidRPr="3787F221" w:rsidR="7EC87EA5">
              <w:rPr>
                <w:b w:val="0"/>
                <w:bCs w:val="0"/>
                <w:sz w:val="18"/>
                <w:szCs w:val="18"/>
              </w:rPr>
              <w:t xml:space="preserve">, </w:t>
            </w:r>
            <w:r w:rsidRPr="3787F221" w:rsidR="7EC87EA5">
              <w:rPr>
                <w:b w:val="0"/>
                <w:bCs w:val="0"/>
                <w:sz w:val="18"/>
                <w:szCs w:val="18"/>
              </w:rPr>
              <w:t>financement</w:t>
            </w:r>
            <w:r w:rsidRPr="3787F221" w:rsidR="7EC87EA5">
              <w:rPr>
                <w:b w:val="0"/>
                <w:bCs w:val="0"/>
                <w:sz w:val="18"/>
                <w:szCs w:val="18"/>
              </w:rPr>
              <w:t>)</w:t>
            </w: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1916B7E4" w14:textId="1E3EB813">
            <w:pPr>
              <w:cnfStyle w:val="100000000000"/>
              <w:rPr>
                <w:b w:val="0"/>
                <w:bCs w:val="0"/>
                <w:sz w:val="18"/>
                <w:szCs w:val="18"/>
              </w:rPr>
            </w:pPr>
            <w:r w:rsidRPr="00DB1DED">
              <w:rPr>
                <w:b w:val="0"/>
                <w:bCs w:val="0"/>
                <w:sz w:val="18"/>
                <w:szCs w:val="18"/>
              </w:rPr>
              <w:t xml:space="preserve">Contribution potentielle et rôle dans le SRS</w:t>
            </w: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277720C3" w14:textId="3D0FA94F">
            <w:pPr>
              <w:cnfStyle w:val="100000000000"/>
              <w:rPr>
                <w:b w:val="0"/>
                <w:bCs w:val="0"/>
                <w:sz w:val="18"/>
                <w:szCs w:val="18"/>
              </w:rPr>
            </w:pPr>
            <w:r w:rsidRPr="00DB1DED">
              <w:rPr>
                <w:b w:val="0"/>
                <w:bCs w:val="0"/>
                <w:sz w:val="18"/>
                <w:szCs w:val="18"/>
              </w:rPr>
              <w:t xml:space="preserve">Contact (avec nom du représentant)</w:t>
            </w: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119F55C5" w14:textId="32B80B7F">
            <w:pPr>
              <w:cnfStyle w:val="100000000000"/>
              <w:rPr>
                <w:b w:val="0"/>
                <w:bCs w:val="0"/>
                <w:sz w:val="18"/>
                <w:szCs w:val="18"/>
              </w:rPr>
            </w:pPr>
            <w:r w:rsidRPr="3787F221" w:rsidR="7EC87EA5">
              <w:rPr>
                <w:b w:val="0"/>
                <w:bCs w:val="0"/>
                <w:sz w:val="18"/>
                <w:szCs w:val="18"/>
              </w:rPr>
              <w:t xml:space="preserve">Invitation </w:t>
            </w:r>
            <w:r w:rsidRPr="3787F221" w:rsidR="63761959">
              <w:rPr>
                <w:b w:val="0"/>
                <w:bCs w:val="0"/>
                <w:sz w:val="18"/>
                <w:szCs w:val="18"/>
              </w:rPr>
              <w:t xml:space="preserve">à </w:t>
            </w:r>
            <w:r w:rsidRPr="3787F221" w:rsidR="63761959">
              <w:rPr>
                <w:b w:val="0"/>
                <w:bCs w:val="0"/>
                <w:sz w:val="18"/>
                <w:szCs w:val="18"/>
              </w:rPr>
              <w:t>participer</w:t>
            </w:r>
            <w:r w:rsidRPr="3787F221" w:rsidR="63761959">
              <w:rPr>
                <w:b w:val="0"/>
                <w:bCs w:val="0"/>
                <w:sz w:val="18"/>
                <w:szCs w:val="18"/>
              </w:rPr>
              <w:t xml:space="preserve"> </w:t>
            </w:r>
            <w:r w:rsidRPr="3787F221" w:rsidR="7EC87EA5">
              <w:rPr>
                <w:b w:val="0"/>
                <w:bCs w:val="0"/>
                <w:sz w:val="18"/>
                <w:szCs w:val="18"/>
              </w:rPr>
              <w:t xml:space="preserve">au </w:t>
            </w:r>
            <w:r w:rsidRPr="3787F221" w:rsidR="7EC87EA5">
              <w:rPr>
                <w:b w:val="0"/>
                <w:bCs w:val="0"/>
                <w:sz w:val="18"/>
                <w:szCs w:val="18"/>
              </w:rPr>
              <w:t>comité</w:t>
            </w:r>
            <w:r w:rsidRPr="3787F221" w:rsidR="7EC87EA5">
              <w:rPr>
                <w:b w:val="0"/>
                <w:bCs w:val="0"/>
                <w:sz w:val="18"/>
                <w:szCs w:val="18"/>
              </w:rPr>
              <w:t xml:space="preserve"> technique/</w:t>
            </w:r>
            <w:r w:rsidRPr="3787F221" w:rsidR="7EC87EA5">
              <w:rPr>
                <w:b w:val="0"/>
                <w:bCs w:val="0"/>
                <w:sz w:val="18"/>
                <w:szCs w:val="18"/>
              </w:rPr>
              <w:t>consultatif</w:t>
            </w:r>
            <w:r w:rsidRPr="3787F221" w:rsidR="7EC87EA5">
              <w:rPr>
                <w:b w:val="0"/>
                <w:bCs w:val="0"/>
                <w:sz w:val="18"/>
                <w:szCs w:val="18"/>
              </w:rPr>
              <w:t xml:space="preserve"> du SRS (O/N)</w:t>
            </w:r>
          </w:p>
        </w:tc>
      </w:tr>
      <w:tr w:rsidRPr="00DB1DED" w:rsidR="00DB1DED" w:rsidTr="3787F221" w14:paraId="43ED9C05" w14:textId="28AA20B6">
        <w:trPr>
          <w:cnfStyle w:val="000000100000"/>
          <w:trHeight w:val="458"/>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3A206993" w14:textId="28209B50">
            <w:pPr>
              <w:rPr>
                <w:sz w:val="18"/>
                <w:szCs w:val="18"/>
              </w:rPr>
            </w:pPr>
            <w:r w:rsidRPr="00DB1DED">
              <w:rPr>
                <w:sz w:val="18"/>
                <w:szCs w:val="18"/>
              </w:rPr>
              <w:t xml:space="preserve">1</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7550C579" w14:textId="4E681883">
            <w:pPr>
              <w:cnfStyle w:val="000000100000"/>
              <w:rPr>
                <w:i/>
                <w:iCs/>
                <w:sz w:val="18"/>
                <w:szCs w:val="18"/>
              </w:rPr>
            </w:pPr>
            <w:r w:rsidRPr="0061038A">
              <w:rPr>
                <w:i/>
                <w:iCs/>
                <w:sz w:val="18"/>
                <w:szCs w:val="18"/>
              </w:rPr>
              <w:t xml:space="preserve">Département de suivi et d'évaluation, ministère de la Santé</w:t>
            </w:r>
          </w:p>
        </w:tc>
        <w:tc>
          <w:tcPr>
            <w:cnfStyle w:val="000000000000" w:firstRow="0" w:lastRow="0" w:firstColumn="0" w:lastColumn="0" w:oddVBand="0" w:evenVBand="0" w:oddHBand="0" w:evenHBand="0" w:firstRowFirstColumn="0" w:firstRowLastColumn="0" w:lastRowFirstColumn="0" w:lastRowLastColumn="0"/>
            <w:tcW w:w="1704" w:type="dxa"/>
            <w:tcMar/>
          </w:tcPr>
          <w:p w:rsidRPr="0061038A" w:rsidR="00DB1DED" w:rsidRDefault="00DB1DED" w14:paraId="36B4AD3E" w14:textId="0AD9A282">
            <w:pPr>
              <w:cnfStyle w:val="000000100000"/>
              <w:rPr>
                <w:i/>
                <w:iCs/>
                <w:sz w:val="18"/>
                <w:szCs w:val="18"/>
              </w:rPr>
            </w:pPr>
            <w:r w:rsidRPr="0061038A">
              <w:rPr>
                <w:i/>
                <w:iCs/>
                <w:sz w:val="18"/>
                <w:szCs w:val="18"/>
              </w:rPr>
              <w:t xml:space="preserve">Gouvernement</w:t>
            </w:r>
          </w:p>
        </w:tc>
        <w:tc>
          <w:tcPr>
            <w:cnfStyle w:val="000000000000" w:firstRow="0" w:lastRow="0" w:firstColumn="0" w:lastColumn="0" w:oddVBand="0" w:evenVBand="0" w:oddHBand="0" w:evenHBand="0" w:firstRowFirstColumn="0" w:firstRowLastColumn="0" w:lastRowFirstColumn="0" w:lastRowLastColumn="0"/>
            <w:tcW w:w="1767" w:type="dxa"/>
            <w:tcMar/>
          </w:tcPr>
          <w:p w:rsidRPr="0061038A" w:rsidR="00DB1DED" w:rsidRDefault="00DB1DED" w14:paraId="4C66E7C8" w14:textId="75221BC9">
            <w:pPr>
              <w:cnfStyle w:val="000000100000"/>
              <w:rPr>
                <w:i/>
                <w:iCs/>
                <w:sz w:val="18"/>
                <w:szCs w:val="18"/>
              </w:rPr>
            </w:pPr>
            <w:r w:rsidRPr="0061038A">
              <w:rPr>
                <w:i/>
                <w:iCs/>
                <w:sz w:val="18"/>
                <w:szCs w:val="18"/>
              </w:rPr>
              <w:t xml:space="preserve">National</w:t>
            </w:r>
          </w:p>
        </w:tc>
        <w:tc>
          <w:tcPr>
            <w:cnfStyle w:val="000000000000" w:firstRow="0" w:lastRow="0" w:firstColumn="0" w:lastColumn="0" w:oddVBand="0" w:evenVBand="0" w:oddHBand="0" w:evenHBand="0" w:firstRowFirstColumn="0" w:firstRowLastColumn="0" w:lastRowFirstColumn="0" w:lastRowLastColumn="0"/>
            <w:tcW w:w="2059" w:type="dxa"/>
            <w:tcMar/>
          </w:tcPr>
          <w:p w:rsidRPr="0061038A" w:rsidR="00DB1DED" w:rsidP="3787F221" w:rsidRDefault="00DB1DED" w14:paraId="22D6CFB4" w14:textId="40C59ECF">
            <w:pPr>
              <w:cnfStyle w:val="000000100000"/>
              <w:rPr>
                <w:i w:val="1"/>
                <w:iCs w:val="1"/>
                <w:sz w:val="18"/>
                <w:szCs w:val="18"/>
              </w:rPr>
            </w:pPr>
            <w:r w:rsidRPr="3787F221" w:rsidR="093471F3">
              <w:rPr>
                <w:i w:val="1"/>
                <w:iCs w:val="1"/>
                <w:sz w:val="18"/>
                <w:szCs w:val="18"/>
              </w:rPr>
              <w:t xml:space="preserve"> collection</w:t>
            </w:r>
            <w:r w:rsidRPr="3787F221" w:rsidR="7EC87EA5">
              <w:rPr>
                <w:i w:val="1"/>
                <w:iCs w:val="1"/>
                <w:sz w:val="18"/>
                <w:szCs w:val="18"/>
              </w:rPr>
              <w:t xml:space="preserve">, </w:t>
            </w:r>
            <w:r w:rsidRPr="3787F221" w:rsidR="7EC87EA5">
              <w:rPr>
                <w:i w:val="1"/>
                <w:iCs w:val="1"/>
                <w:sz w:val="18"/>
                <w:szCs w:val="18"/>
              </w:rPr>
              <w:t>utilisation</w:t>
            </w:r>
            <w:r w:rsidRPr="3787F221" w:rsidR="7EC87EA5">
              <w:rPr>
                <w:i w:val="1"/>
                <w:iCs w:val="1"/>
                <w:sz w:val="18"/>
                <w:szCs w:val="18"/>
              </w:rPr>
              <w:t xml:space="preserve">, </w:t>
            </w:r>
            <w:r w:rsidRPr="3787F221" w:rsidR="7EC87EA5">
              <w:rPr>
                <w:i w:val="1"/>
                <w:iCs w:val="1"/>
                <w:sz w:val="18"/>
                <w:szCs w:val="18"/>
              </w:rPr>
              <w:t>financement</w:t>
            </w:r>
          </w:p>
        </w:tc>
        <w:tc>
          <w:tcPr>
            <w:cnfStyle w:val="000000000000" w:firstRow="0" w:lastRow="0" w:firstColumn="0" w:lastColumn="0" w:oddVBand="0" w:evenVBand="0" w:oddHBand="0" w:evenHBand="0" w:firstRowFirstColumn="0" w:firstRowLastColumn="0" w:lastRowFirstColumn="0" w:lastRowLastColumn="0"/>
            <w:tcW w:w="2221" w:type="dxa"/>
            <w:tcMar/>
          </w:tcPr>
          <w:p w:rsidRPr="0061038A" w:rsidR="00DB1DED" w:rsidRDefault="00DB1DED" w14:paraId="25EB0362" w14:textId="0883CA72">
            <w:pPr>
              <w:cnfStyle w:val="000000100000"/>
              <w:rPr>
                <w:i/>
                <w:iCs/>
                <w:sz w:val="18"/>
                <w:szCs w:val="18"/>
              </w:rPr>
            </w:pPr>
            <w:r w:rsidRPr="0061038A">
              <w:rPr>
                <w:i/>
                <w:iCs/>
                <w:sz w:val="18"/>
                <w:szCs w:val="18"/>
              </w:rPr>
              <w:t xml:space="preserve">Direction, orientation stratégique, financement</w:t>
            </w: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06383AEA"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21B5BE29" w14:textId="77777777">
            <w:pPr>
              <w:cnfStyle w:val="000000100000"/>
              <w:rPr>
                <w:sz w:val="18"/>
                <w:szCs w:val="18"/>
              </w:rPr>
            </w:pPr>
          </w:p>
        </w:tc>
      </w:tr>
      <w:tr w:rsidRPr="00DB1DED" w:rsidR="00DB1DED" w:rsidTr="3787F221" w14:paraId="69503A2A" w14:textId="544CEEC7">
        <w:trPr>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08BB3141" w14:textId="05F30F21">
            <w:pPr>
              <w:rPr>
                <w:sz w:val="18"/>
                <w:szCs w:val="18"/>
              </w:rPr>
            </w:pPr>
            <w:r w:rsidRPr="00DB1DED">
              <w:rPr>
                <w:sz w:val="18"/>
                <w:szCs w:val="18"/>
              </w:rPr>
              <w:t xml:space="preserve">2</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0D87485B" w14:textId="1C7A4FAD">
            <w:pPr>
              <w:cnfStyle w:val="000000000000"/>
              <w:rPr>
                <w:i/>
                <w:iCs/>
                <w:sz w:val="18"/>
                <w:szCs w:val="18"/>
              </w:rPr>
            </w:pPr>
            <w:r w:rsidRPr="0061038A">
              <w:rPr>
                <w:i/>
                <w:iCs/>
                <w:sz w:val="18"/>
                <w:szCs w:val="18"/>
              </w:rPr>
              <w:t xml:space="preserve">Département de la santé communautaire, ministère de la Santé</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19EF8B0D"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15B629D9"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08701F2F"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50690E23"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3D698624"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267137DD" w14:textId="77777777">
            <w:pPr>
              <w:cnfStyle w:val="000000000000"/>
              <w:rPr>
                <w:sz w:val="18"/>
                <w:szCs w:val="18"/>
              </w:rPr>
            </w:pPr>
          </w:p>
        </w:tc>
      </w:tr>
      <w:tr w:rsidRPr="00DB1DED" w:rsidR="00DB1DED" w:rsidTr="3787F221" w14:paraId="7FC8D216" w14:textId="6078DE84">
        <w:trPr>
          <w:cnfStyle w:val="000000100000"/>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2F7739BC" w14:textId="3C928F58">
            <w:pPr>
              <w:rPr>
                <w:sz w:val="18"/>
                <w:szCs w:val="18"/>
              </w:rPr>
            </w:pPr>
            <w:r w:rsidRPr="00DB1DED">
              <w:rPr>
                <w:sz w:val="18"/>
                <w:szCs w:val="18"/>
              </w:rPr>
              <w:t xml:space="preserve">3</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0BEEA02A" w14:textId="06667317">
            <w:pPr>
              <w:cnfStyle w:val="000000100000"/>
              <w:rPr>
                <w:i/>
                <w:iCs/>
                <w:sz w:val="18"/>
                <w:szCs w:val="18"/>
              </w:rPr>
            </w:pPr>
            <w:r w:rsidRPr="0061038A">
              <w:rPr>
                <w:i/>
                <w:iCs/>
                <w:sz w:val="18"/>
                <w:szCs w:val="18"/>
              </w:rPr>
              <w:t xml:space="preserve">Département de la santé publique, ministère de la Santé</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5C832DF1"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2F8669B8"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5292724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57374E6F"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40C6D9CB"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17FD67DD" w14:textId="77777777">
            <w:pPr>
              <w:cnfStyle w:val="000000100000"/>
              <w:rPr>
                <w:sz w:val="18"/>
                <w:szCs w:val="18"/>
              </w:rPr>
            </w:pPr>
          </w:p>
        </w:tc>
      </w:tr>
      <w:tr w:rsidRPr="00DB1DED" w:rsidR="00DB1DED" w:rsidTr="3787F221" w14:paraId="7DEF15A5" w14:textId="6F865110">
        <w:trPr>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1AA0B694" w14:textId="5D91F2FE">
            <w:pPr>
              <w:rPr>
                <w:sz w:val="18"/>
                <w:szCs w:val="18"/>
              </w:rPr>
            </w:pPr>
            <w:r w:rsidRPr="00DB1DED">
              <w:rPr>
                <w:sz w:val="18"/>
                <w:szCs w:val="18"/>
              </w:rPr>
              <w:t xml:space="preserve">4</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22890EFA" w14:textId="0BF885D8">
            <w:pPr>
              <w:cnfStyle w:val="000000000000"/>
              <w:rPr>
                <w:i/>
                <w:iCs/>
                <w:sz w:val="18"/>
                <w:szCs w:val="18"/>
              </w:rPr>
            </w:pPr>
            <w:r w:rsidRPr="0061038A">
              <w:rPr>
                <w:i/>
                <w:iCs/>
                <w:sz w:val="18"/>
                <w:szCs w:val="18"/>
              </w:rPr>
              <w:t xml:space="preserve">Institut national de santé publique (ministère de la Santé)</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7F106409"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32DA9798"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06F67279"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37922DAD"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7560B5D4"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0EE0D378" w14:textId="77777777">
            <w:pPr>
              <w:cnfStyle w:val="000000000000"/>
              <w:rPr>
                <w:sz w:val="18"/>
                <w:szCs w:val="18"/>
              </w:rPr>
            </w:pPr>
          </w:p>
        </w:tc>
      </w:tr>
      <w:tr w:rsidRPr="00DB1DED" w:rsidR="00DB1DED" w:rsidTr="3787F221" w14:paraId="7183D58B" w14:textId="621D516C">
        <w:trPr>
          <w:cnfStyle w:val="000000100000"/>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37209326" w14:textId="4323D3D0">
            <w:pPr>
              <w:rPr>
                <w:sz w:val="18"/>
                <w:szCs w:val="18"/>
              </w:rPr>
            </w:pPr>
            <w:r w:rsidRPr="00DB1DED">
              <w:rPr>
                <w:sz w:val="18"/>
                <w:szCs w:val="18"/>
              </w:rPr>
              <w:t xml:space="preserve">5</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77B9E933" w14:textId="22A13636">
            <w:pPr>
              <w:cnfStyle w:val="000000100000"/>
              <w:rPr>
                <w:i/>
                <w:iCs/>
                <w:sz w:val="18"/>
                <w:szCs w:val="18"/>
              </w:rPr>
            </w:pPr>
            <w:r w:rsidRPr="0061038A">
              <w:rPr>
                <w:i/>
                <w:iCs/>
                <w:sz w:val="18"/>
                <w:szCs w:val="18"/>
              </w:rPr>
              <w:t xml:space="preserve">Unité d'enregistrement civil, Ministère de la Justice</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323445E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1A6AC334"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0CCF6747"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0BB9C9EA"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371D9B93"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19C98A3B" w14:textId="77777777">
            <w:pPr>
              <w:cnfStyle w:val="000000100000"/>
              <w:rPr>
                <w:sz w:val="18"/>
                <w:szCs w:val="18"/>
              </w:rPr>
            </w:pPr>
          </w:p>
        </w:tc>
      </w:tr>
      <w:tr w:rsidRPr="00DB1DED" w:rsidR="00DB1DED" w:rsidTr="3787F221" w14:paraId="558FA12D" w14:textId="63C8C5C9">
        <w:trPr>
          <w:trHeight w:val="229"/>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5A7845DD" w14:textId="5081AEB9">
            <w:pPr>
              <w:rPr>
                <w:sz w:val="18"/>
                <w:szCs w:val="18"/>
              </w:rPr>
            </w:pPr>
            <w:r w:rsidRPr="00DB1DED">
              <w:rPr>
                <w:sz w:val="18"/>
                <w:szCs w:val="18"/>
              </w:rPr>
              <w:t xml:space="preserve">6</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531D1B1B" w14:textId="4B1EDD1C">
            <w:pPr>
              <w:cnfStyle w:val="000000000000"/>
              <w:rPr>
                <w:i/>
                <w:iCs/>
                <w:sz w:val="18"/>
                <w:szCs w:val="18"/>
              </w:rPr>
            </w:pPr>
            <w:r w:rsidRPr="0061038A">
              <w:rPr>
                <w:i/>
                <w:iCs/>
                <w:sz w:val="18"/>
                <w:szCs w:val="18"/>
              </w:rPr>
              <w:t xml:space="preserve">Responsables sanitaires de district</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1EA5C343"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58409CC2"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41CA99E4"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147E8A62"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69A7B9C6"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28588D62" w14:textId="77777777">
            <w:pPr>
              <w:cnfStyle w:val="000000000000"/>
              <w:rPr>
                <w:sz w:val="18"/>
                <w:szCs w:val="18"/>
              </w:rPr>
            </w:pPr>
          </w:p>
        </w:tc>
      </w:tr>
      <w:tr w:rsidRPr="00DB1DED" w:rsidR="00DB1DED" w:rsidTr="3787F221" w14:paraId="15CFC420" w14:textId="6834A883">
        <w:trPr>
          <w:cnfStyle w:val="000000100000"/>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4C230567" w14:textId="1A18D915">
            <w:pPr>
              <w:rPr>
                <w:sz w:val="18"/>
                <w:szCs w:val="18"/>
              </w:rPr>
            </w:pPr>
            <w:r w:rsidRPr="00DB1DED">
              <w:rPr>
                <w:sz w:val="18"/>
                <w:szCs w:val="18"/>
              </w:rPr>
              <w:t xml:space="preserve">7</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76931FCC" w14:textId="2031DCAE">
            <w:pPr>
              <w:cnfStyle w:val="000000100000"/>
              <w:rPr>
                <w:i/>
                <w:iCs/>
                <w:sz w:val="18"/>
                <w:szCs w:val="18"/>
              </w:rPr>
            </w:pPr>
            <w:r w:rsidRPr="0061038A">
              <w:rPr>
                <w:i/>
                <w:iCs/>
                <w:sz w:val="18"/>
                <w:szCs w:val="18"/>
              </w:rPr>
              <w:t xml:space="preserve">Institut national de la statistique, ministère des Finances</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0537DE15"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4B4F809A"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44057DE5"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21BB8DE3"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333F132F"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4731A778" w14:textId="77777777">
            <w:pPr>
              <w:cnfStyle w:val="000000100000"/>
              <w:rPr>
                <w:sz w:val="18"/>
                <w:szCs w:val="18"/>
              </w:rPr>
            </w:pPr>
          </w:p>
        </w:tc>
      </w:tr>
      <w:tr w:rsidRPr="00DB1DED" w:rsidR="00DB1DED" w:rsidTr="3787F221" w14:paraId="744A9681" w14:textId="56F2866D">
        <w:trPr>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4F41C075" w14:textId="464CC75B">
            <w:pPr>
              <w:rPr>
                <w:sz w:val="18"/>
                <w:szCs w:val="18"/>
              </w:rPr>
            </w:pPr>
            <w:r w:rsidRPr="00DB1DED">
              <w:rPr>
                <w:sz w:val="18"/>
                <w:szCs w:val="18"/>
              </w:rPr>
              <w:t xml:space="preserve">8</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28813A79" w14:textId="2A5A2A18">
            <w:pPr>
              <w:cnfStyle w:val="000000000000"/>
              <w:rPr>
                <w:i/>
                <w:iCs/>
                <w:sz w:val="18"/>
                <w:szCs w:val="18"/>
              </w:rPr>
            </w:pPr>
            <w:r w:rsidRPr="0061038A">
              <w:rPr>
                <w:i/>
                <w:iCs/>
                <w:sz w:val="18"/>
                <w:szCs w:val="18"/>
              </w:rPr>
              <w:t xml:space="preserve">Université (École de santé publique/médecine)</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00ACF200"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05CCACC4"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180C889D"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33E1B0DB"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1A29B786"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311BE9A7" w14:textId="77777777">
            <w:pPr>
              <w:cnfStyle w:val="000000000000"/>
              <w:rPr>
                <w:sz w:val="18"/>
                <w:szCs w:val="18"/>
              </w:rPr>
            </w:pPr>
          </w:p>
        </w:tc>
      </w:tr>
      <w:tr w:rsidRPr="00DB1DED" w:rsidR="00DB1DED" w:rsidTr="3787F221" w14:paraId="11257814" w14:textId="16DF6E48">
        <w:trPr>
          <w:cnfStyle w:val="000000100000"/>
          <w:trHeight w:val="229"/>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15BDDD56" w14:textId="0A88C7E7">
            <w:pPr>
              <w:rPr>
                <w:sz w:val="18"/>
                <w:szCs w:val="18"/>
              </w:rPr>
            </w:pPr>
            <w:r w:rsidRPr="00DB1DED">
              <w:rPr>
                <w:sz w:val="18"/>
                <w:szCs w:val="18"/>
              </w:rPr>
              <w:t xml:space="preserve">9</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2FE0EACF" w14:textId="5F3D487A">
            <w:pPr>
              <w:cnfStyle w:val="000000100000"/>
              <w:rPr>
                <w:i/>
                <w:iCs/>
                <w:sz w:val="18"/>
                <w:szCs w:val="18"/>
              </w:rPr>
            </w:pPr>
            <w:r w:rsidRPr="0061038A">
              <w:rPr>
                <w:i/>
                <w:iCs/>
                <w:sz w:val="18"/>
                <w:szCs w:val="18"/>
              </w:rPr>
              <w:t xml:space="preserve">Partenaires bilatéraux (par exemple, USAID)</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629CD460"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358C442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611FB834"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18EA7E88"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7704E080"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149685FE" w14:textId="77777777">
            <w:pPr>
              <w:cnfStyle w:val="000000100000"/>
              <w:rPr>
                <w:sz w:val="18"/>
                <w:szCs w:val="18"/>
              </w:rPr>
            </w:pPr>
          </w:p>
        </w:tc>
      </w:tr>
      <w:tr w:rsidRPr="00DB1DED" w:rsidR="00DB1DED" w:rsidTr="3787F221" w14:paraId="05D020FC" w14:textId="6D9F1FD6">
        <w:trPr>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404BA4E8" w14:textId="39684E76">
            <w:pPr>
              <w:rPr>
                <w:sz w:val="18"/>
                <w:szCs w:val="18"/>
              </w:rPr>
            </w:pPr>
            <w:r w:rsidRPr="00DB1DED">
              <w:rPr>
                <w:sz w:val="18"/>
                <w:szCs w:val="18"/>
              </w:rPr>
              <w:t xml:space="preserve">10</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310233EB" w14:textId="2555A679">
            <w:pPr>
              <w:cnfStyle w:val="000000000000"/>
              <w:rPr>
                <w:i/>
                <w:iCs/>
                <w:sz w:val="18"/>
                <w:szCs w:val="18"/>
              </w:rPr>
            </w:pPr>
            <w:r w:rsidRPr="0061038A">
              <w:rPr>
                <w:i/>
                <w:iCs/>
                <w:sz w:val="18"/>
                <w:szCs w:val="18"/>
              </w:rPr>
              <w:t xml:space="preserve">Partenaires multilatéraux et ONU (par exemple, OMS, UNICEF, FNUAP)</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3C8E9DD5"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4649B797"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1514F313"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5FBDE3DC"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12DB6576"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0C954849" w14:textId="77777777">
            <w:pPr>
              <w:cnfStyle w:val="000000000000"/>
              <w:rPr>
                <w:sz w:val="18"/>
                <w:szCs w:val="18"/>
              </w:rPr>
            </w:pPr>
          </w:p>
        </w:tc>
      </w:tr>
      <w:tr w:rsidRPr="00DB1DED" w:rsidR="00DB1DED" w:rsidTr="3787F221" w14:paraId="05774476" w14:textId="5602CF97">
        <w:trPr>
          <w:cnfStyle w:val="000000100000"/>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5D28DE40" w14:textId="422D0B79">
            <w:pPr>
              <w:rPr>
                <w:sz w:val="18"/>
                <w:szCs w:val="18"/>
              </w:rPr>
            </w:pPr>
            <w:r w:rsidRPr="00DB1DED">
              <w:rPr>
                <w:sz w:val="18"/>
                <w:szCs w:val="18"/>
              </w:rPr>
              <w:t xml:space="preserve">11</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03E31C6A" w14:textId="47616007">
            <w:pPr>
              <w:cnfStyle w:val="000000100000"/>
              <w:rPr>
                <w:i/>
                <w:iCs/>
                <w:sz w:val="18"/>
                <w:szCs w:val="18"/>
              </w:rPr>
            </w:pPr>
            <w:r w:rsidRPr="0061038A">
              <w:rPr>
                <w:i/>
                <w:iCs/>
                <w:sz w:val="18"/>
                <w:szCs w:val="18"/>
              </w:rPr>
              <w:t xml:space="preserve">Sites de surveillance sanitaire et démographique</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3AC5B5D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4DDE072B"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59C5E572"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180024AD"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588BC7A7"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44E2C11A" w14:textId="77777777">
            <w:pPr>
              <w:cnfStyle w:val="000000100000"/>
              <w:rPr>
                <w:sz w:val="18"/>
                <w:szCs w:val="18"/>
              </w:rPr>
            </w:pPr>
          </w:p>
        </w:tc>
      </w:tr>
      <w:tr w:rsidRPr="00DB1DED" w:rsidR="00DB1DED" w:rsidTr="3787F221" w14:paraId="6969428F" w14:textId="4A16D5D7">
        <w:trPr>
          <w:trHeight w:val="471"/>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0D57A50B" w14:textId="781A4D93">
            <w:pPr>
              <w:rPr>
                <w:sz w:val="18"/>
                <w:szCs w:val="18"/>
              </w:rPr>
            </w:pPr>
            <w:r w:rsidRPr="00DB1DED">
              <w:rPr>
                <w:sz w:val="18"/>
                <w:szCs w:val="18"/>
              </w:rPr>
              <w:t xml:space="preserve">12</w:t>
            </w:r>
          </w:p>
        </w:tc>
        <w:tc>
          <w:tcPr>
            <w:cnfStyle w:val="000000000000" w:firstRow="0" w:lastRow="0" w:firstColumn="0" w:lastColumn="0" w:oddVBand="0" w:evenVBand="0" w:oddHBand="0" w:evenHBand="0" w:firstRowFirstColumn="0" w:firstRowLastColumn="0" w:lastRowFirstColumn="0" w:lastRowLastColumn="0"/>
            <w:tcW w:w="2949" w:type="dxa"/>
            <w:tcMar/>
          </w:tcPr>
          <w:p w:rsidRPr="0061038A" w:rsidR="00DB1DED" w:rsidRDefault="00DB1DED" w14:paraId="766350D6" w14:textId="2884D98F">
            <w:pPr>
              <w:cnfStyle w:val="000000000000"/>
              <w:rPr>
                <w:i/>
                <w:iCs/>
                <w:sz w:val="18"/>
                <w:szCs w:val="18"/>
              </w:rPr>
            </w:pPr>
            <w:r w:rsidRPr="0061038A">
              <w:rPr>
                <w:i/>
                <w:iCs/>
                <w:sz w:val="18"/>
                <w:szCs w:val="18"/>
              </w:rPr>
              <w:t xml:space="preserve">Association professionnelle médicale </w:t>
            </w: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5B212AA3"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226D83A9"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5E60B911"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3FA8B6BD"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46774A46"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69167950" w14:textId="77777777">
            <w:pPr>
              <w:cnfStyle w:val="000000000000"/>
              <w:rPr>
                <w:sz w:val="18"/>
                <w:szCs w:val="18"/>
              </w:rPr>
            </w:pPr>
          </w:p>
        </w:tc>
      </w:tr>
      <w:tr w:rsidRPr="00DB1DED" w:rsidR="00DB1DED" w:rsidTr="3787F221" w14:paraId="397F9924" w14:textId="1E38D498">
        <w:trPr>
          <w:cnfStyle w:val="000000100000"/>
          <w:trHeight w:val="242"/>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6F132387" w14:textId="52FCDC59">
            <w:pPr>
              <w:rPr>
                <w:sz w:val="18"/>
                <w:szCs w:val="18"/>
              </w:rPr>
            </w:pPr>
            <w:r w:rsidRPr="00DB1DED">
              <w:rPr>
                <w:sz w:val="18"/>
                <w:szCs w:val="18"/>
              </w:rPr>
              <w:t xml:space="preserve">13</w:t>
            </w:r>
          </w:p>
        </w:tc>
        <w:tc>
          <w:tcPr>
            <w:cnfStyle w:val="000000000000" w:firstRow="0" w:lastRow="0" w:firstColumn="0" w:lastColumn="0" w:oddVBand="0" w:evenVBand="0" w:oddHBand="0" w:evenHBand="0" w:firstRowFirstColumn="0" w:firstRowLastColumn="0" w:lastRowFirstColumn="0" w:lastRowLastColumn="0"/>
            <w:tcW w:w="2949" w:type="dxa"/>
            <w:tcMar/>
          </w:tcPr>
          <w:p w:rsidRPr="00DB1DED" w:rsidR="00DB1DED" w:rsidRDefault="00DB1DED" w14:paraId="4C46EEB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584112A3"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5374D27A"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43BB754D"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098FE2CB"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6FFC34B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05409F98" w14:textId="77777777">
            <w:pPr>
              <w:cnfStyle w:val="000000100000"/>
              <w:rPr>
                <w:sz w:val="18"/>
                <w:szCs w:val="18"/>
              </w:rPr>
            </w:pPr>
          </w:p>
        </w:tc>
      </w:tr>
      <w:tr w:rsidRPr="00DB1DED" w:rsidR="00DB1DED" w:rsidTr="3787F221" w14:paraId="3BCE9072" w14:textId="1B372B90">
        <w:trPr>
          <w:trHeight w:val="229"/>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0E3035EB" w14:textId="00DA52EF">
            <w:pPr>
              <w:rPr>
                <w:sz w:val="18"/>
                <w:szCs w:val="18"/>
              </w:rPr>
            </w:pPr>
            <w:r>
              <w:rPr>
                <w:sz w:val="18"/>
                <w:szCs w:val="18"/>
              </w:rPr>
              <w:t xml:space="preserve">14</w:t>
            </w:r>
          </w:p>
        </w:tc>
        <w:tc>
          <w:tcPr>
            <w:cnfStyle w:val="000000000000" w:firstRow="0" w:lastRow="0" w:firstColumn="0" w:lastColumn="0" w:oddVBand="0" w:evenVBand="0" w:oddHBand="0" w:evenHBand="0" w:firstRowFirstColumn="0" w:firstRowLastColumn="0" w:lastRowFirstColumn="0" w:lastRowLastColumn="0"/>
            <w:tcW w:w="2949" w:type="dxa"/>
            <w:tcMar/>
          </w:tcPr>
          <w:p w:rsidRPr="00DB1DED" w:rsidR="00DB1DED" w:rsidRDefault="00DB1DED" w14:paraId="6A9133A3"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5F76E80D"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6FB133E1"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7C2033EC"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7A74E83B"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71FE173E" w14:textId="77777777">
            <w:pPr>
              <w:cnfStyle w:val="0000000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2E8F06A2" w14:textId="77777777">
            <w:pPr>
              <w:cnfStyle w:val="000000000000"/>
              <w:rPr>
                <w:sz w:val="18"/>
                <w:szCs w:val="18"/>
              </w:rPr>
            </w:pPr>
          </w:p>
        </w:tc>
      </w:tr>
      <w:tr w:rsidRPr="00DB1DED" w:rsidR="00DB1DED" w:rsidTr="3787F221" w14:paraId="3A0ACA90" w14:textId="3FFE4E17">
        <w:trPr>
          <w:cnfStyle w:val="000000100000"/>
          <w:trHeight w:val="229"/>
          <w:jc w:val="center"/>
        </w:trPr>
        <w:tc>
          <w:tcPr>
            <w:cnfStyle w:val="001000000000" w:firstRow="0" w:lastRow="0" w:firstColumn="1" w:lastColumn="0" w:oddVBand="0" w:evenVBand="0" w:oddHBand="0" w:evenHBand="0" w:firstRowFirstColumn="0" w:firstRowLastColumn="0" w:lastRowFirstColumn="0" w:lastRowLastColumn="0"/>
            <w:tcW w:w="467" w:type="dxa"/>
            <w:tcMar/>
          </w:tcPr>
          <w:p w:rsidRPr="00DB1DED" w:rsidR="00DB1DED" w:rsidRDefault="00DB1DED" w14:paraId="5F4D32A0" w14:textId="34117681">
            <w:pPr>
              <w:rPr>
                <w:sz w:val="18"/>
                <w:szCs w:val="18"/>
              </w:rPr>
            </w:pPr>
            <w:r>
              <w:rPr>
                <w:sz w:val="18"/>
                <w:szCs w:val="18"/>
              </w:rPr>
              <w:t xml:space="preserve">15</w:t>
            </w:r>
          </w:p>
        </w:tc>
        <w:tc>
          <w:tcPr>
            <w:cnfStyle w:val="000000000000" w:firstRow="0" w:lastRow="0" w:firstColumn="0" w:lastColumn="0" w:oddVBand="0" w:evenVBand="0" w:oddHBand="0" w:evenHBand="0" w:firstRowFirstColumn="0" w:firstRowLastColumn="0" w:lastRowFirstColumn="0" w:lastRowLastColumn="0"/>
            <w:tcW w:w="2949" w:type="dxa"/>
            <w:tcMar/>
          </w:tcPr>
          <w:p w:rsidRPr="00DB1DED" w:rsidR="00DB1DED" w:rsidRDefault="00DB1DED" w14:paraId="2F9C1F8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04" w:type="dxa"/>
            <w:tcMar/>
          </w:tcPr>
          <w:p w:rsidRPr="00DB1DED" w:rsidR="00DB1DED" w:rsidRDefault="00DB1DED" w14:paraId="13728478"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67" w:type="dxa"/>
            <w:tcMar/>
          </w:tcPr>
          <w:p w:rsidRPr="00DB1DED" w:rsidR="00DB1DED" w:rsidRDefault="00DB1DED" w14:paraId="2B509DD3"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059" w:type="dxa"/>
            <w:tcMar/>
          </w:tcPr>
          <w:p w:rsidRPr="00DB1DED" w:rsidR="00DB1DED" w:rsidRDefault="00DB1DED" w14:paraId="4EC38443"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2221" w:type="dxa"/>
            <w:tcMar/>
          </w:tcPr>
          <w:p w:rsidRPr="00DB1DED" w:rsidR="00DB1DED" w:rsidRDefault="00DB1DED" w14:paraId="3DB5EBA9"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752" w:type="dxa"/>
            <w:tcMar/>
          </w:tcPr>
          <w:p w:rsidRPr="00DB1DED" w:rsidR="00DB1DED" w:rsidRDefault="00DB1DED" w14:paraId="071E8CC3" w14:textId="77777777">
            <w:pPr>
              <w:cnfStyle w:val="000000100000"/>
              <w:rPr>
                <w:sz w:val="18"/>
                <w:szCs w:val="18"/>
              </w:rPr>
            </w:pPr>
          </w:p>
        </w:tc>
        <w:tc>
          <w:tcPr>
            <w:cnfStyle w:val="000000000000" w:firstRow="0" w:lastRow="0" w:firstColumn="0" w:lastColumn="0" w:oddVBand="0" w:evenVBand="0" w:oddHBand="0" w:evenHBand="0" w:firstRowFirstColumn="0" w:firstRowLastColumn="0" w:lastRowFirstColumn="0" w:lastRowLastColumn="0"/>
            <w:tcW w:w="1840" w:type="dxa"/>
            <w:tcMar/>
          </w:tcPr>
          <w:p w:rsidRPr="00DB1DED" w:rsidR="00DB1DED" w:rsidRDefault="00DB1DED" w14:paraId="1A06AF03" w14:textId="77777777">
            <w:pPr>
              <w:cnfStyle w:val="000000100000"/>
              <w:rPr>
                <w:sz w:val="18"/>
                <w:szCs w:val="18"/>
              </w:rPr>
            </w:pPr>
          </w:p>
        </w:tc>
      </w:tr>
    </w:tbl>
    <w:p w:rsidRPr="009F6F1E" w:rsidR="009F6F1E" w:rsidP="009F6F1E" w:rsidRDefault="009F6F1E" w14:paraId="58CF5540" w14:textId="2506563F">
      <w:pPr>
        <w:tabs>
          <w:tab w:val="left" w:pos="2969"/>
        </w:tabs>
      </w:pPr>
      <w:r>
        <w:tab/>
      </w:r>
    </w:p>
    <w:sectPr w:rsidRPr="009F6F1E" w:rsidR="009F6F1E" w:rsidSect="00E95516">
      <w:pgSz w:w="15840" w:h="12240" w:orient="landscape"/>
      <w:pgMar w:top="634"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17B" w:rsidP="00424022" w:rsidRDefault="0053217B" w14:paraId="3C3ABD00" w14:textId="77777777">
      <w:pPr>
        <w:spacing w:after="0" w:line="240" w:lineRule="auto"/>
      </w:pPr>
      <w:r>
        <w:separator/>
      </w:r>
    </w:p>
  </w:endnote>
  <w:endnote w:type="continuationSeparator" w:id="0">
    <w:p w:rsidR="0053217B" w:rsidP="00424022" w:rsidRDefault="0053217B" w14:paraId="7FF1F8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3304"/>
      <w:docPartObj>
        <w:docPartGallery w:val="Page Numbers (Bottom of Page)"/>
        <w:docPartUnique/>
      </w:docPartObj>
    </w:sdtPr>
    <w:sdtEndPr>
      <w:rPr>
        <w:noProof/>
      </w:rPr>
    </w:sdtEndPr>
    <w:sdtContent>
      <w:p w:rsidR="00E95516" w:rsidRDefault="00E95516" w14:paraId="16FEF2AF"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Pr="00E95516" w:rsidR="00513B2C" w:rsidRDefault="00E95516" w14:paraId="4409BCD1" w14:textId="4D3E467B">
        <w:pPr>
          <w:pStyle w:val="Footer"/>
        </w:pPr>
        <w:r w:rsidRPr="00513B2C">
          <w:rPr>
            <w:i/>
            <w:iCs/>
            <w:color w:val="FF0000"/>
            <w:sz w:val="20"/>
            <w:szCs w:val="20"/>
          </w:rPr>
          <w:t xml:space="preserve">Version 1 </w:t>
        </w:r>
        <w:r>
          <w:rPr>
            <w:i/>
            <w:iCs/>
            <w:color w:val="FF0000"/>
            <w:sz w:val="20"/>
            <w:szCs w:val="20"/>
          </w:rPr>
          <w:t xml:space="preserve">-</w:t>
        </w:r>
        <w:r w:rsidRPr="00513B2C">
          <w:rPr>
            <w:i/>
            <w:iCs/>
            <w:color w:val="FF0000"/>
            <w:sz w:val="20"/>
            <w:szCs w:val="20"/>
          </w:rPr>
          <w:t xml:space="preserve"> 14 avril 2025</w:t>
        </w:r>
        <w:r>
          <w:rPr>
            <w:i/>
            <w:iCs/>
            <w:color w:val="FF0000"/>
            <w:sz w:val="20"/>
            <w:szCs w:val="20"/>
          </w:rPr>
          <w:tab/>
        </w:r>
        <w:r>
          <w:rPr>
            <w:i/>
            <w:iCs/>
            <w:color w:val="FF0000"/>
            <w:sz w:val="20"/>
            <w:szCs w:val="20"/>
          </w:rPr>
          <w:tab/>
        </w:r>
        <w:r>
          <w:rPr>
            <w:i/>
            <w:iCs/>
            <w:color w:val="FF0000"/>
            <w:sz w:val="20"/>
            <w:szCs w:val="20"/>
          </w:rPr>
          <w:tab/>
        </w:r>
        <w:r>
          <w:rPr>
            <w:i/>
            <w:iCs/>
            <w:color w:val="FF0000"/>
            <w:sz w:val="20"/>
            <w:szCs w:val="20"/>
          </w:rPr>
          <w:t xml:space="preserve">s1_2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17B" w:rsidP="00424022" w:rsidRDefault="0053217B" w14:paraId="35F6A82E" w14:textId="77777777">
      <w:pPr>
        <w:spacing w:after="0" w:line="240" w:lineRule="auto"/>
      </w:pPr>
      <w:r>
        <w:separator/>
      </w:r>
    </w:p>
  </w:footnote>
  <w:footnote w:type="continuationSeparator" w:id="0">
    <w:p w:rsidR="0053217B" w:rsidP="00424022" w:rsidRDefault="0053217B" w14:paraId="2D232434"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zNTQxNzGxNDU0MDZR0lEKTi0uzszPAykwrAUAWekW5ywAAAA="/>
  </w:docVars>
  <w:rsids>
    <w:rsidRoot w:val="00E365CE"/>
    <w:rsid w:val="00057BF6"/>
    <w:rsid w:val="001D194B"/>
    <w:rsid w:val="002FB45B"/>
    <w:rsid w:val="00424022"/>
    <w:rsid w:val="004543A1"/>
    <w:rsid w:val="00513B2C"/>
    <w:rsid w:val="0053217B"/>
    <w:rsid w:val="0061038A"/>
    <w:rsid w:val="006165F4"/>
    <w:rsid w:val="00633E4F"/>
    <w:rsid w:val="00902D90"/>
    <w:rsid w:val="0095609A"/>
    <w:rsid w:val="009C3332"/>
    <w:rsid w:val="009F6F1E"/>
    <w:rsid w:val="00A76AB8"/>
    <w:rsid w:val="00AF0043"/>
    <w:rsid w:val="00B3220E"/>
    <w:rsid w:val="00B535E7"/>
    <w:rsid w:val="00BB7CC6"/>
    <w:rsid w:val="00C1443C"/>
    <w:rsid w:val="00C8658F"/>
    <w:rsid w:val="00D34D50"/>
    <w:rsid w:val="00D3771F"/>
    <w:rsid w:val="00D70431"/>
    <w:rsid w:val="00DB1DED"/>
    <w:rsid w:val="00E365CE"/>
    <w:rsid w:val="00E555DF"/>
    <w:rsid w:val="00E95516"/>
    <w:rsid w:val="00FD3BB5"/>
    <w:rsid w:val="06F0DE0B"/>
    <w:rsid w:val="093471F3"/>
    <w:rsid w:val="1091C3FC"/>
    <w:rsid w:val="1EB1E7DB"/>
    <w:rsid w:val="3787F221"/>
    <w:rsid w:val="3BADD268"/>
    <w:rsid w:val="4B995437"/>
    <w:rsid w:val="5AEA864B"/>
    <w:rsid w:val="63761959"/>
    <w:rsid w:val="69588500"/>
    <w:rsid w:val="70276EAF"/>
    <w:rsid w:val="7B94FF3B"/>
    <w:rsid w:val="7EC8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8447"/>
  <w15:chartTrackingRefBased/>
  <w15:docId w15:val="{0D61A2CE-154D-4E37-9AA6-479D2CF5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65C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5C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5C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65C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65C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65C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65C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65C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65C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65C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65C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65CE"/>
    <w:rPr>
      <w:rFonts w:eastAsiaTheme="majorEastAsia" w:cstheme="majorBidi"/>
      <w:color w:val="272727" w:themeColor="text1" w:themeTint="D8"/>
    </w:rPr>
  </w:style>
  <w:style w:type="paragraph" w:styleId="Title">
    <w:name w:val="Title"/>
    <w:basedOn w:val="Normal"/>
    <w:next w:val="Normal"/>
    <w:link w:val="TitleChar"/>
    <w:uiPriority w:val="10"/>
    <w:qFormat/>
    <w:rsid w:val="00E365C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65C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65C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6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5CE"/>
    <w:pPr>
      <w:spacing w:before="160"/>
      <w:jc w:val="center"/>
    </w:pPr>
    <w:rPr>
      <w:i/>
      <w:iCs/>
      <w:color w:val="404040" w:themeColor="text1" w:themeTint="BF"/>
    </w:rPr>
  </w:style>
  <w:style w:type="character" w:styleId="QuoteChar" w:customStyle="1">
    <w:name w:val="Quote Char"/>
    <w:basedOn w:val="DefaultParagraphFont"/>
    <w:link w:val="Quote"/>
    <w:uiPriority w:val="29"/>
    <w:rsid w:val="00E365CE"/>
    <w:rPr>
      <w:i/>
      <w:iCs/>
      <w:color w:val="404040" w:themeColor="text1" w:themeTint="BF"/>
    </w:rPr>
  </w:style>
  <w:style w:type="paragraph" w:styleId="ListParagraph">
    <w:name w:val="List Paragraph"/>
    <w:basedOn w:val="Normal"/>
    <w:uiPriority w:val="34"/>
    <w:qFormat/>
    <w:rsid w:val="00E365CE"/>
    <w:pPr>
      <w:ind w:left="720"/>
      <w:contextualSpacing/>
    </w:pPr>
  </w:style>
  <w:style w:type="character" w:styleId="IntenseEmphasis">
    <w:name w:val="Intense Emphasis"/>
    <w:basedOn w:val="DefaultParagraphFont"/>
    <w:uiPriority w:val="21"/>
    <w:qFormat/>
    <w:rsid w:val="00E365CE"/>
    <w:rPr>
      <w:i/>
      <w:iCs/>
      <w:color w:val="0F4761" w:themeColor="accent1" w:themeShade="BF"/>
    </w:rPr>
  </w:style>
  <w:style w:type="paragraph" w:styleId="IntenseQuote">
    <w:name w:val="Intense Quote"/>
    <w:basedOn w:val="Normal"/>
    <w:next w:val="Normal"/>
    <w:link w:val="IntenseQuoteChar"/>
    <w:uiPriority w:val="30"/>
    <w:qFormat/>
    <w:rsid w:val="00E365C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65CE"/>
    <w:rPr>
      <w:i/>
      <w:iCs/>
      <w:color w:val="0F4761" w:themeColor="accent1" w:themeShade="BF"/>
    </w:rPr>
  </w:style>
  <w:style w:type="character" w:styleId="IntenseReference">
    <w:name w:val="Intense Reference"/>
    <w:basedOn w:val="DefaultParagraphFont"/>
    <w:uiPriority w:val="32"/>
    <w:qFormat/>
    <w:rsid w:val="00E365CE"/>
    <w:rPr>
      <w:b/>
      <w:bCs/>
      <w:smallCaps/>
      <w:color w:val="0F4761" w:themeColor="accent1" w:themeShade="BF"/>
      <w:spacing w:val="5"/>
    </w:rPr>
  </w:style>
  <w:style w:type="table" w:styleId="TableGrid">
    <w:name w:val="Table Grid"/>
    <w:basedOn w:val="TableNormal"/>
    <w:uiPriority w:val="39"/>
    <w:rsid w:val="00AF00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6">
    <w:name w:val="Grid Table 4 Accent 6"/>
    <w:basedOn w:val="TableNormal"/>
    <w:uiPriority w:val="49"/>
    <w:rsid w:val="00DB1DED"/>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3">
    <w:name w:val="Grid Table 4 Accent 3"/>
    <w:basedOn w:val="TableNormal"/>
    <w:uiPriority w:val="49"/>
    <w:rsid w:val="00DB1DED"/>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4240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4022"/>
  </w:style>
  <w:style w:type="paragraph" w:styleId="Footer">
    <w:name w:val="footer"/>
    <w:basedOn w:val="Normal"/>
    <w:link w:val="FooterChar"/>
    <w:uiPriority w:val="99"/>
    <w:unhideWhenUsed/>
    <w:rsid w:val="004240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Agbessi Amouzou</dc:creator>
  <keywords>, docId:986037F98003304B9234617059AC479A</keywords>
  <dc:description/>
  <lastModifiedBy>Emma Williams</lastModifiedBy>
  <revision>15</revision>
  <dcterms:created xsi:type="dcterms:W3CDTF">2025-01-06T15:37:00.0000000Z</dcterms:created>
  <dcterms:modified xsi:type="dcterms:W3CDTF">2026-03-26T19:57:37.0273341Z</dcterms:modified>
</coreProperties>
</file>